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132"/>
        <w:gridCol w:w="4953"/>
        <w:gridCol w:w="433"/>
        <w:gridCol w:w="889"/>
        <w:gridCol w:w="1889"/>
        <w:gridCol w:w="57"/>
      </w:tblGrid>
      <w:tr w:rsidR="00206555">
        <w:trPr>
          <w:trHeight w:hRule="exact" w:val="138"/>
        </w:trPr>
        <w:tc>
          <w:tcPr>
            <w:tcW w:w="1419" w:type="dxa"/>
          </w:tcPr>
          <w:p w:rsidR="00206555" w:rsidRDefault="00206555">
            <w:bookmarkStart w:id="0" w:name="_GoBack"/>
            <w:bookmarkEnd w:id="0"/>
          </w:p>
        </w:tc>
        <w:tc>
          <w:tcPr>
            <w:tcW w:w="1132" w:type="dxa"/>
          </w:tcPr>
          <w:p w:rsidR="00206555" w:rsidRDefault="00206555"/>
        </w:tc>
        <w:tc>
          <w:tcPr>
            <w:tcW w:w="4953" w:type="dxa"/>
          </w:tcPr>
          <w:p w:rsidR="00206555" w:rsidRDefault="00206555"/>
        </w:tc>
        <w:tc>
          <w:tcPr>
            <w:tcW w:w="433" w:type="dxa"/>
          </w:tcPr>
          <w:p w:rsidR="00206555" w:rsidRDefault="00206555"/>
        </w:tc>
        <w:tc>
          <w:tcPr>
            <w:tcW w:w="889" w:type="dxa"/>
          </w:tcPr>
          <w:p w:rsidR="00206555" w:rsidRDefault="00206555"/>
        </w:tc>
        <w:tc>
          <w:tcPr>
            <w:tcW w:w="1889" w:type="dxa"/>
          </w:tcPr>
          <w:p w:rsidR="00206555" w:rsidRDefault="00206555"/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694"/>
        </w:trPr>
        <w:tc>
          <w:tcPr>
            <w:tcW w:w="1419" w:type="dxa"/>
          </w:tcPr>
          <w:p w:rsidR="00206555" w:rsidRDefault="00206555"/>
        </w:tc>
        <w:tc>
          <w:tcPr>
            <w:tcW w:w="1132" w:type="dxa"/>
          </w:tcPr>
          <w:p w:rsidR="00206555" w:rsidRDefault="00206555"/>
        </w:tc>
        <w:tc>
          <w:tcPr>
            <w:tcW w:w="538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Önem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Derecelerine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Göre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Listesi</w:t>
            </w:r>
            <w:proofErr w:type="spellEnd"/>
          </w:p>
          <w:p w:rsidR="00206555" w:rsidRDefault="00E2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2022 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889" w:type="dxa"/>
          </w:tcPr>
          <w:p w:rsidR="00206555" w:rsidRDefault="00206555"/>
        </w:tc>
        <w:tc>
          <w:tcPr>
            <w:tcW w:w="1889" w:type="dxa"/>
          </w:tcPr>
          <w:p w:rsidR="00206555" w:rsidRDefault="00206555"/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416"/>
        </w:trPr>
        <w:tc>
          <w:tcPr>
            <w:tcW w:w="1419" w:type="dxa"/>
          </w:tcPr>
          <w:p w:rsidR="00206555" w:rsidRDefault="00206555"/>
        </w:tc>
        <w:tc>
          <w:tcPr>
            <w:tcW w:w="1132" w:type="dxa"/>
          </w:tcPr>
          <w:p w:rsidR="00206555" w:rsidRDefault="00206555"/>
        </w:tc>
        <w:tc>
          <w:tcPr>
            <w:tcW w:w="4953" w:type="dxa"/>
          </w:tcPr>
          <w:p w:rsidR="00206555" w:rsidRDefault="00206555"/>
        </w:tc>
        <w:tc>
          <w:tcPr>
            <w:tcW w:w="433" w:type="dxa"/>
          </w:tcPr>
          <w:p w:rsidR="00206555" w:rsidRDefault="00206555"/>
        </w:tc>
        <w:tc>
          <w:tcPr>
            <w:tcW w:w="889" w:type="dxa"/>
          </w:tcPr>
          <w:p w:rsidR="00206555" w:rsidRDefault="00206555"/>
        </w:tc>
        <w:tc>
          <w:tcPr>
            <w:tcW w:w="1889" w:type="dxa"/>
          </w:tcPr>
          <w:p w:rsidR="00206555" w:rsidRDefault="00206555"/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41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Degerlendirme</w:t>
            </w:r>
            <w:proofErr w:type="spellEnd"/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atamasına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bağlı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kaydının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sağlıklı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yürütülememesi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Protokolü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programın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uyumunun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dikkate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alınmamasından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dolayı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denkliğinin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yapılamaması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yüklerini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tamamlayamaması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muafiyet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yatay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işlemlerinde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hatalı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işlenmesi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ödeyememe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maaşın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ödenmesi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çalışılmasından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kaynaklı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soruşturmanın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yürütülememesi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çıkılan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uzmanının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bulunamayışı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bitmesine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rağmen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etmesi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  <w:tr w:rsidR="00206555">
        <w:trPr>
          <w:trHeight w:hRule="exact" w:val="115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Satın alma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taşınır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işlemlerinin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kayıtlarının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tutulamaması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6555" w:rsidRDefault="00E21F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Katlanılabilir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57" w:type="dxa"/>
          </w:tcPr>
          <w:p w:rsidR="00206555" w:rsidRDefault="00206555"/>
        </w:tc>
      </w:tr>
    </w:tbl>
    <w:p w:rsidR="00206555" w:rsidRDefault="00206555"/>
    <w:sectPr w:rsidR="00206555">
      <w:pgSz w:w="11907" w:h="16840"/>
      <w:pgMar w:top="567" w:right="567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06555"/>
    <w:rsid w:val="00D31453"/>
    <w:rsid w:val="00E209E2"/>
    <w:rsid w:val="00E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76BD8-73F0-425D-B5CB-3A98073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C:\inetpub\wwwroot\str.giresun.edu.tr\Reports\RiskOnemDereceleri.frx</vt:lpstr>
      <vt:lpstr>Лист1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C:\inetpub\wwwroot\str.giresun.edu.tr\Reports\RiskOnemDereceleri.frx</dc:title>
  <dc:subject>Demonstrates simple list report. To create it:
- go to "Data" menu and select "Choose Report Data..." item to select datasource;
- go to "Report|Configure Bands..." menu to create the band structure;
- return to the report page, doubleclick the data band to show its editor;
- choose the datasource;
- drag data from the Data Dictionary window to the band.</dc:subject>
  <dc:creator>FastReport.NET</dc:creator>
  <cp:lastModifiedBy>mrt kskn</cp:lastModifiedBy>
  <cp:revision>2</cp:revision>
  <dcterms:created xsi:type="dcterms:W3CDTF">2022-09-30T06:55:00Z</dcterms:created>
  <dcterms:modified xsi:type="dcterms:W3CDTF">2022-09-30T06:55:00Z</dcterms:modified>
</cp:coreProperties>
</file>